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w:t>
      </w:r>
      <w:bookmarkEnd w:id="0"/>
      <w:bookmarkEnd w:id="4"/>
      <w:r w:rsidR="00F36A4F">
        <w:rPr>
          <w:b w:val="0"/>
          <w:i w:val="0"/>
        </w:rPr>
        <w:t>5</w:t>
      </w:r>
      <w:r>
        <w:rPr>
          <w:b w:val="0"/>
          <w:i w:val="0"/>
        </w:rPr>
        <w:t xml:space="preserve"> к</w:t>
      </w:r>
      <w:r w:rsidRPr="0017238E">
        <w:rPr>
          <w:b w:val="0"/>
          <w:i w:val="0"/>
        </w:rPr>
        <w:t xml:space="preserve"> </w:t>
      </w:r>
      <w:r>
        <w:rPr>
          <w:b w:val="0"/>
          <w:i w:val="0"/>
        </w:rPr>
        <w:t>д</w:t>
      </w:r>
      <w:r w:rsidR="00D97B9F">
        <w:rPr>
          <w:b w:val="0"/>
          <w:i w:val="0"/>
        </w:rPr>
        <w:t>оговору подряда №     /КС-2022</w:t>
      </w:r>
      <w:r w:rsidRPr="0017238E">
        <w:rPr>
          <w:b w:val="0"/>
          <w:i w:val="0"/>
        </w:rPr>
        <w:t xml:space="preserve"> от </w:t>
      </w:r>
      <w:proofErr w:type="gramStart"/>
      <w:r w:rsidRPr="0017238E">
        <w:rPr>
          <w:b w:val="0"/>
          <w:i w:val="0"/>
        </w:rPr>
        <w:t>«</w:t>
      </w:r>
      <w:r>
        <w:rPr>
          <w:b w:val="0"/>
          <w:i w:val="0"/>
        </w:rPr>
        <w:t xml:space="preserve">  </w:t>
      </w:r>
      <w:proofErr w:type="gramEnd"/>
      <w:r>
        <w:rPr>
          <w:b w:val="0"/>
          <w:i w:val="0"/>
        </w:rPr>
        <w:t xml:space="preserve">   </w:t>
      </w:r>
      <w:r w:rsidR="00D97B9F">
        <w:rPr>
          <w:b w:val="0"/>
          <w:i w:val="0"/>
        </w:rPr>
        <w:t>» _______________2022</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17238E" w:rsidRPr="00E74E90" w:rsidRDefault="0017238E" w:rsidP="0017238E">
      <w:pPr>
        <w:spacing w:before="120" w:after="120"/>
        <w:ind w:right="141"/>
        <w:jc w:val="center"/>
        <w:rPr>
          <w:sz w:val="22"/>
          <w:szCs w:val="22"/>
        </w:rPr>
      </w:pPr>
      <w:bookmarkStart w:id="6" w:name="_GoBack"/>
      <w:bookmarkEnd w:id="6"/>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rsidTr="00476B05">
        <w:trPr>
          <w:trHeight w:val="1134"/>
        </w:trPr>
        <w:tc>
          <w:tcPr>
            <w:tcW w:w="4536" w:type="dxa"/>
          </w:tcPr>
          <w:p w:rsidR="0017238E" w:rsidRPr="00E74E90" w:rsidRDefault="0017238E" w:rsidP="00476B05">
            <w:pPr>
              <w:spacing w:before="120" w:after="120"/>
              <w:jc w:val="both"/>
              <w:rPr>
                <w:b/>
                <w:sz w:val="22"/>
                <w:szCs w:val="22"/>
              </w:rPr>
            </w:pPr>
            <w:r w:rsidRPr="00E74E90">
              <w:rPr>
                <w:b/>
                <w:sz w:val="22"/>
                <w:szCs w:val="22"/>
              </w:rPr>
              <w:t>Подрядчик: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rsidR="0017238E" w:rsidRPr="00E74E90" w:rsidRDefault="0017238E" w:rsidP="00476B05">
            <w:pPr>
              <w:spacing w:before="120" w:after="120"/>
              <w:jc w:val="both"/>
              <w:rPr>
                <w:b/>
                <w:sz w:val="22"/>
                <w:szCs w:val="22"/>
              </w:rPr>
            </w:pPr>
            <w:r w:rsidRPr="00E74E90">
              <w:rPr>
                <w:b/>
                <w:sz w:val="22"/>
                <w:szCs w:val="22"/>
              </w:rPr>
              <w:t>Заказчик: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r>
    </w:tbl>
    <w:p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5D26DD"/>
    <w:rsid w:val="00B25628"/>
    <w:rsid w:val="00B83857"/>
    <w:rsid w:val="00CA5C05"/>
    <w:rsid w:val="00D97B9F"/>
    <w:rsid w:val="00DC1C99"/>
    <w:rsid w:val="00E75CF5"/>
    <w:rsid w:val="00F36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1F03D"/>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1721</Words>
  <Characters>9810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7</cp:revision>
  <dcterms:created xsi:type="dcterms:W3CDTF">2020-05-27T08:43:00Z</dcterms:created>
  <dcterms:modified xsi:type="dcterms:W3CDTF">2022-08-11T06:10:00Z</dcterms:modified>
</cp:coreProperties>
</file>